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5B625D4F"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26</w:t>
      </w:r>
      <w:r w:rsidRPr="00863065">
        <w:rPr>
          <w:rFonts w:cs="Arial"/>
        </w:rPr>
        <w:tab/>
        <w:t>R</w:t>
      </w:r>
      <w:r>
        <w:rPr>
          <w:rFonts w:cs="Arial" w:hint="eastAsia"/>
        </w:rPr>
        <w:t>2</w:t>
      </w:r>
      <w:r w:rsidRPr="00863065">
        <w:rPr>
          <w:rFonts w:cs="Arial"/>
        </w:rPr>
        <w:t>-</w:t>
      </w:r>
      <w:r>
        <w:rPr>
          <w:rFonts w:cs="Arial"/>
        </w:rPr>
        <w:t>2</w:t>
      </w:r>
      <w:r w:rsidR="00D40190">
        <w:rPr>
          <w:rFonts w:cs="Arial"/>
        </w:rPr>
        <w:t>4</w:t>
      </w:r>
      <w:r w:rsidR="00E7403E">
        <w:rPr>
          <w:rFonts w:cs="Arial"/>
        </w:rPr>
        <w:t>05597</w:t>
      </w:r>
    </w:p>
    <w:p w14:paraId="298061C1" w14:textId="6BBD16A0" w:rsidR="005857F6" w:rsidRPr="00863065" w:rsidRDefault="00D40190" w:rsidP="005857F6">
      <w:pPr>
        <w:pStyle w:val="a7"/>
        <w:tabs>
          <w:tab w:val="left" w:pos="709"/>
          <w:tab w:val="right" w:pos="9639"/>
        </w:tabs>
        <w:spacing w:after="0"/>
        <w:jc w:val="left"/>
        <w:rPr>
          <w:rFonts w:cs="Arial"/>
          <w:lang w:val="en-US"/>
        </w:rPr>
      </w:pPr>
      <w:r>
        <w:rPr>
          <w:rFonts w:cs="Arial"/>
          <w:lang w:val="en-US"/>
        </w:rPr>
        <w:t>Fukuoka</w:t>
      </w:r>
      <w:r w:rsidR="005857F6">
        <w:rPr>
          <w:rFonts w:cs="Arial"/>
          <w:lang w:val="en-US"/>
        </w:rPr>
        <w:t xml:space="preserve">, </w:t>
      </w:r>
      <w:r>
        <w:rPr>
          <w:rFonts w:cs="Arial"/>
          <w:lang w:val="en-US"/>
        </w:rPr>
        <w:t>Japan</w:t>
      </w:r>
      <w:r w:rsidR="005857F6">
        <w:rPr>
          <w:rFonts w:cs="Arial"/>
          <w:lang w:val="en-US"/>
        </w:rPr>
        <w:t>, 2</w:t>
      </w:r>
      <w:r>
        <w:rPr>
          <w:rFonts w:cs="Arial"/>
          <w:lang w:val="en-US"/>
        </w:rPr>
        <w:t>0</w:t>
      </w:r>
      <w:r w:rsidR="005857F6">
        <w:rPr>
          <w:rFonts w:cs="Arial"/>
          <w:vertAlign w:val="superscript"/>
          <w:lang w:val="en-US"/>
        </w:rPr>
        <w:t>th</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24</w:t>
      </w:r>
      <w:r w:rsidRPr="00D40190">
        <w:rPr>
          <w:rFonts w:cs="Arial"/>
          <w:vertAlign w:val="superscript"/>
          <w:lang w:val="en-US"/>
        </w:rPr>
        <w:t>th</w:t>
      </w:r>
      <w:r>
        <w:rPr>
          <w:rFonts w:cs="Arial"/>
          <w:lang w:val="en-US"/>
        </w:rPr>
        <w:t xml:space="preserve"> </w:t>
      </w:r>
      <w:r w:rsidR="005857F6">
        <w:rPr>
          <w:rFonts w:cs="Arial"/>
          <w:lang w:val="en-US"/>
        </w:rPr>
        <w:t>Ma</w:t>
      </w:r>
      <w:r>
        <w:rPr>
          <w:rFonts w:cs="Arial"/>
          <w:lang w:val="en-US"/>
        </w:rPr>
        <w:t>y</w:t>
      </w:r>
      <w:r w:rsidR="005857F6" w:rsidRPr="00802E96">
        <w:rPr>
          <w:rFonts w:cs="Arial"/>
          <w:lang w:val="en-US"/>
        </w:rPr>
        <w:t xml:space="preserve"> 20</w:t>
      </w:r>
      <w:r w:rsidR="005857F6">
        <w:rPr>
          <w:rFonts w:cs="Arial"/>
          <w:lang w:val="en-US"/>
        </w:rPr>
        <w:t>2</w:t>
      </w:r>
      <w:r>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3EF3FE0"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6C7F12" w:rsidRPr="006C7F12">
        <w:rPr>
          <w:rFonts w:cs="Arial"/>
          <w:b/>
          <w:sz w:val="24"/>
        </w:rPr>
        <w:t xml:space="preserve">Discussion on RAN4 agreement for </w:t>
      </w:r>
      <w:proofErr w:type="gramStart"/>
      <w:r w:rsidR="006C7F12" w:rsidRPr="006C7F12">
        <w:rPr>
          <w:rFonts w:cs="Arial"/>
          <w:b/>
          <w:sz w:val="24"/>
        </w:rPr>
        <w:t>Multi-carrier</w:t>
      </w:r>
      <w:proofErr w:type="gramEnd"/>
      <w:r w:rsidR="006C7F12" w:rsidRPr="006C7F12">
        <w:rPr>
          <w:rFonts w:cs="Arial"/>
          <w:b/>
          <w:sz w:val="24"/>
        </w:rPr>
        <w:t xml:space="preserve"> enhancements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2099FCD3"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903130">
        <w:rPr>
          <w:rFonts w:cs="Arial"/>
          <w:b/>
          <w:sz w:val="24"/>
        </w:rPr>
        <w:t>7</w:t>
      </w:r>
      <w:r>
        <w:rPr>
          <w:rFonts w:cs="Arial"/>
          <w:b/>
          <w:sz w:val="24"/>
        </w:rPr>
        <w:t>.</w:t>
      </w:r>
      <w:r w:rsidR="00903130">
        <w:rPr>
          <w:rFonts w:cs="Arial"/>
          <w:b/>
          <w:sz w:val="24"/>
        </w:rPr>
        <w:t>25</w:t>
      </w:r>
      <w:r>
        <w:rPr>
          <w:rFonts w:cs="Arial"/>
          <w:b/>
          <w:sz w:val="24"/>
        </w:rPr>
        <w:t>.</w:t>
      </w:r>
      <w:r w:rsidR="00903130">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404D77B7" w14:textId="2A64248D" w:rsidR="009C786B" w:rsidRDefault="00800987" w:rsidP="009C786B">
      <w:pPr>
        <w:rPr>
          <w:i/>
          <w:iCs/>
        </w:rPr>
      </w:pPr>
      <w:r>
        <w:rPr>
          <w:rFonts w:hint="eastAsia"/>
          <w:szCs w:val="22"/>
        </w:rPr>
        <w:t>I</w:t>
      </w:r>
      <w:r>
        <w:rPr>
          <w:szCs w:val="22"/>
        </w:rPr>
        <w:t xml:space="preserve">n RAN2#125, we sent a </w:t>
      </w:r>
      <w:proofErr w:type="gramStart"/>
      <w:r>
        <w:rPr>
          <w:szCs w:val="22"/>
        </w:rPr>
        <w:t>reply</w:t>
      </w:r>
      <w:proofErr w:type="gramEnd"/>
      <w:r>
        <w:rPr>
          <w:szCs w:val="22"/>
        </w:rPr>
        <w:t xml:space="preserve"> LS to RAN4 </w:t>
      </w:r>
      <w:r w:rsidR="00E7403E">
        <w:rPr>
          <w:szCs w:val="22"/>
        </w:rPr>
        <w:t>[1]</w:t>
      </w:r>
      <w:r>
        <w:rPr>
          <w:szCs w:val="22"/>
        </w:rPr>
        <w:t xml:space="preserve"> to inform following RAN2 agreement and ask for feedback if they have concern.</w:t>
      </w:r>
      <w:r w:rsidR="009C786B">
        <w:rPr>
          <w:szCs w:val="22"/>
        </w:rPr>
        <w:t xml:space="preserve"> Note that RAN2 did not agree to introduce </w:t>
      </w:r>
      <w:r w:rsidR="008C55C0" w:rsidRPr="008C55C0">
        <w:rPr>
          <w:i/>
          <w:iCs/>
          <w:szCs w:val="22"/>
        </w:rPr>
        <w:t xml:space="preserve">a UE capability </w:t>
      </w:r>
      <w:bookmarkStart w:id="0" w:name="_Hlk166184622"/>
      <w:r w:rsidR="008C55C0" w:rsidRPr="008C55C0">
        <w:rPr>
          <w:i/>
          <w:iCs/>
          <w:szCs w:val="22"/>
        </w:rPr>
        <w:t>to report preferred switching pattern</w:t>
      </w:r>
      <w:bookmarkEnd w:id="0"/>
      <w:r w:rsidR="008C55C0">
        <w:rPr>
          <w:szCs w:val="22"/>
        </w:rPr>
        <w:t>, which was originally required by RAN4.</w:t>
      </w:r>
    </w:p>
    <w:p w14:paraId="76F69147" w14:textId="77777777" w:rsidR="009C786B" w:rsidRPr="000B441E" w:rsidRDefault="009C786B" w:rsidP="009C786B">
      <w:pPr>
        <w:pStyle w:val="Doc-text2"/>
        <w:pBdr>
          <w:top w:val="single" w:sz="4" w:space="1" w:color="auto"/>
          <w:left w:val="single" w:sz="4" w:space="4" w:color="auto"/>
          <w:bottom w:val="single" w:sz="4" w:space="0" w:color="auto"/>
          <w:right w:val="single" w:sz="4" w:space="4" w:color="auto"/>
        </w:pBdr>
        <w:tabs>
          <w:tab w:val="clear" w:pos="1622"/>
        </w:tabs>
        <w:ind w:hanging="182"/>
        <w:rPr>
          <w:b/>
          <w:bCs/>
        </w:rPr>
      </w:pPr>
      <w:r w:rsidRPr="000B441E">
        <w:rPr>
          <w:b/>
          <w:bCs/>
        </w:rPr>
        <w:t>Agreements</w:t>
      </w:r>
    </w:p>
    <w:p w14:paraId="6C303CEA" w14:textId="77777777" w:rsidR="009C786B" w:rsidRPr="009C786B" w:rsidRDefault="009C786B" w:rsidP="009C786B">
      <w:pPr>
        <w:pStyle w:val="Doc-text2"/>
        <w:numPr>
          <w:ilvl w:val="0"/>
          <w:numId w:val="5"/>
        </w:numPr>
        <w:pBdr>
          <w:top w:val="single" w:sz="4" w:space="1" w:color="auto"/>
          <w:left w:val="single" w:sz="4" w:space="4" w:color="auto"/>
          <w:bottom w:val="single" w:sz="4" w:space="0" w:color="auto"/>
          <w:right w:val="single" w:sz="4" w:space="4" w:color="auto"/>
        </w:pBdr>
        <w:tabs>
          <w:tab w:val="clear" w:pos="1622"/>
        </w:tabs>
      </w:pPr>
      <w:r w:rsidRPr="009C786B">
        <w:t>Rely on switchingAdditionalPeriodDualUL-r18 to report min {</w:t>
      </w:r>
      <w:proofErr w:type="gramStart"/>
      <w:r w:rsidRPr="009C786B">
        <w:t>max(</w:t>
      </w:r>
      <w:proofErr w:type="gramEnd"/>
      <w:r w:rsidRPr="009C786B">
        <w:t>Tswitch_A-C, Tswitch_B-D), max(Tswitch_A-D, Tswitch_B-C)}.</w:t>
      </w:r>
    </w:p>
    <w:p w14:paraId="119DBB0C" w14:textId="77777777" w:rsidR="009C786B" w:rsidRPr="000B441E" w:rsidRDefault="009C786B" w:rsidP="009C786B">
      <w:pPr>
        <w:pStyle w:val="Doc-text2"/>
        <w:numPr>
          <w:ilvl w:val="0"/>
          <w:numId w:val="5"/>
        </w:numPr>
        <w:pBdr>
          <w:top w:val="single" w:sz="4" w:space="1" w:color="auto"/>
          <w:left w:val="single" w:sz="4" w:space="4" w:color="auto"/>
          <w:bottom w:val="single" w:sz="4" w:space="0" w:color="auto"/>
          <w:right w:val="single" w:sz="4" w:space="4" w:color="auto"/>
        </w:pBdr>
        <w:tabs>
          <w:tab w:val="clear" w:pos="1622"/>
        </w:tabs>
      </w:pPr>
      <w:r>
        <w:t xml:space="preserve">Send an LS to RAN4 to explain the full RAN2 solution.  Pending RAN4 response RAN2 will revisit agreement if </w:t>
      </w:r>
      <w:proofErr w:type="gramStart"/>
      <w:r>
        <w:t>needed</w:t>
      </w:r>
      <w:proofErr w:type="gramEnd"/>
    </w:p>
    <w:p w14:paraId="05244D72" w14:textId="49EC9F35" w:rsidR="00800987" w:rsidRPr="009C786B" w:rsidRDefault="00800987" w:rsidP="007E2FC8">
      <w:pPr>
        <w:rPr>
          <w:szCs w:val="22"/>
        </w:rPr>
      </w:pPr>
      <w:r w:rsidRPr="009C786B">
        <w:rPr>
          <w:rFonts w:hint="eastAsia"/>
          <w:szCs w:val="22"/>
        </w:rPr>
        <w:t>R</w:t>
      </w:r>
      <w:r w:rsidRPr="009C786B">
        <w:rPr>
          <w:szCs w:val="22"/>
        </w:rPr>
        <w:t>AN4 discussed in April meeting based on the LS and concluded as below</w:t>
      </w:r>
      <w:r w:rsidR="00F00C80" w:rsidRPr="009C786B">
        <w:rPr>
          <w:szCs w:val="22"/>
        </w:rPr>
        <w:t xml:space="preserve"> </w:t>
      </w:r>
      <w:r w:rsidR="00E7403E">
        <w:rPr>
          <w:szCs w:val="22"/>
        </w:rPr>
        <w:t>[2]</w:t>
      </w:r>
      <w:r w:rsidR="008C55C0">
        <w:rPr>
          <w:szCs w:val="22"/>
        </w:rPr>
        <w:t xml:space="preserve"> In other words, RAN4 did not reach consensus whether to remove UE capability</w:t>
      </w:r>
      <w:r w:rsidR="008C55C0" w:rsidRPr="008C55C0">
        <w:t xml:space="preserve"> </w:t>
      </w:r>
      <w:r w:rsidR="008C55C0" w:rsidRPr="008C55C0">
        <w:rPr>
          <w:szCs w:val="22"/>
        </w:rPr>
        <w:t>to report preferred switching pattern</w:t>
      </w:r>
      <w:r w:rsidR="008C55C0">
        <w:rPr>
          <w:szCs w:val="22"/>
        </w:rPr>
        <w:t xml:space="preserve"> and left it to RAN2</w:t>
      </w:r>
      <w:r w:rsidRPr="009C786B">
        <w:rPr>
          <w:szCs w:val="22"/>
        </w:rPr>
        <w:t>.</w:t>
      </w:r>
    </w:p>
    <w:tbl>
      <w:tblPr>
        <w:tblStyle w:val="aa"/>
        <w:tblW w:w="0" w:type="auto"/>
        <w:tblLook w:val="04A0" w:firstRow="1" w:lastRow="0" w:firstColumn="1" w:lastColumn="0" w:noHBand="0" w:noVBand="1"/>
      </w:tblPr>
      <w:tblGrid>
        <w:gridCol w:w="9629"/>
      </w:tblGrid>
      <w:tr w:rsidR="00F00C80" w14:paraId="2FDD99F5" w14:textId="77777777" w:rsidTr="00F00C80">
        <w:tc>
          <w:tcPr>
            <w:tcW w:w="9629" w:type="dxa"/>
          </w:tcPr>
          <w:p w14:paraId="29FD2BC4" w14:textId="77777777" w:rsidR="00F00C80" w:rsidRPr="009C786B" w:rsidRDefault="00F00C80" w:rsidP="00F00C80">
            <w:pPr>
              <w:widowControl w:val="0"/>
              <w:tabs>
                <w:tab w:val="left" w:pos="484"/>
                <w:tab w:val="left" w:pos="709"/>
                <w:tab w:val="left" w:pos="1440"/>
                <w:tab w:val="left" w:pos="1701"/>
              </w:tabs>
              <w:snapToGrid w:val="0"/>
              <w:spacing w:after="120"/>
              <w:rPr>
                <w:rFonts w:eastAsia="DengXian"/>
                <w:b/>
                <w:szCs w:val="21"/>
                <w:lang w:eastAsia="zh-CN"/>
              </w:rPr>
            </w:pPr>
            <w:r w:rsidRPr="009C786B">
              <w:rPr>
                <w:rFonts w:eastAsia="DengXian"/>
                <w:b/>
                <w:szCs w:val="21"/>
                <w:lang w:eastAsia="zh-CN"/>
              </w:rPr>
              <w:t>Agreement: for FG 38-4 and FG 38-5</w:t>
            </w:r>
          </w:p>
          <w:p w14:paraId="7084D365" w14:textId="77777777" w:rsidR="00F00C80" w:rsidRPr="009C786B" w:rsidRDefault="00F00C80" w:rsidP="00F00C80">
            <w:pPr>
              <w:pStyle w:val="ac"/>
              <w:widowControl w:val="0"/>
              <w:numPr>
                <w:ilvl w:val="0"/>
                <w:numId w:val="4"/>
              </w:numPr>
              <w:tabs>
                <w:tab w:val="left" w:pos="484"/>
                <w:tab w:val="left" w:pos="709"/>
                <w:tab w:val="left" w:pos="1440"/>
                <w:tab w:val="left" w:pos="1701"/>
              </w:tabs>
              <w:snapToGrid w:val="0"/>
              <w:rPr>
                <w:rFonts w:eastAsia="DengXian"/>
                <w:bCs/>
                <w:szCs w:val="21"/>
              </w:rPr>
            </w:pPr>
            <w:r w:rsidRPr="009C786B">
              <w:rPr>
                <w:rFonts w:eastAsia="DengXian"/>
                <w:bCs/>
                <w:szCs w:val="21"/>
              </w:rPr>
              <w:t>RAN4 did not reach consensus on merging FG 38-4 and FG38-5 and there is no corresponding update of the feature list.</w:t>
            </w:r>
          </w:p>
          <w:p w14:paraId="32AEB7B0" w14:textId="77777777" w:rsidR="00F00C80" w:rsidRPr="009C786B" w:rsidRDefault="00F00C80" w:rsidP="00F00C80">
            <w:pPr>
              <w:pStyle w:val="ac"/>
              <w:widowControl w:val="0"/>
              <w:numPr>
                <w:ilvl w:val="0"/>
                <w:numId w:val="4"/>
              </w:numPr>
              <w:tabs>
                <w:tab w:val="left" w:pos="484"/>
                <w:tab w:val="left" w:pos="709"/>
                <w:tab w:val="left" w:pos="1440"/>
                <w:tab w:val="left" w:pos="1701"/>
              </w:tabs>
              <w:snapToGrid w:val="0"/>
              <w:rPr>
                <w:rFonts w:eastAsia="DengXian"/>
                <w:bCs/>
                <w:szCs w:val="21"/>
              </w:rPr>
            </w:pPr>
            <w:r w:rsidRPr="009C786B">
              <w:rPr>
                <w:rFonts w:eastAsia="DengXian"/>
                <w:bCs/>
                <w:szCs w:val="21"/>
              </w:rPr>
              <w:t>Companies are encouraged to further discuss the capability issue in RAN2</w:t>
            </w:r>
          </w:p>
          <w:p w14:paraId="49FAA6CB" w14:textId="62010D32" w:rsidR="00F00C80" w:rsidRPr="009C786B" w:rsidRDefault="00F00C80" w:rsidP="007E2FC8">
            <w:pPr>
              <w:pStyle w:val="ac"/>
              <w:widowControl w:val="0"/>
              <w:numPr>
                <w:ilvl w:val="0"/>
                <w:numId w:val="4"/>
              </w:numPr>
              <w:tabs>
                <w:tab w:val="left" w:pos="484"/>
                <w:tab w:val="left" w:pos="709"/>
                <w:tab w:val="left" w:pos="1440"/>
                <w:tab w:val="left" w:pos="1701"/>
              </w:tabs>
              <w:snapToGrid w:val="0"/>
              <w:rPr>
                <w:rFonts w:eastAsia="DengXian"/>
                <w:bCs/>
                <w:szCs w:val="21"/>
              </w:rPr>
            </w:pPr>
            <w:r w:rsidRPr="009C786B">
              <w:rPr>
                <w:rFonts w:eastAsia="DengXian"/>
                <w:bCs/>
                <w:szCs w:val="21"/>
              </w:rPr>
              <w:t>Check RAN2 progress during May meeting. If RAN2 keep the agreement, RAN4 will agree on Option 2 and update the feature list in May meeting.</w:t>
            </w:r>
          </w:p>
        </w:tc>
      </w:tr>
    </w:tbl>
    <w:p w14:paraId="3B58E19E" w14:textId="55A75E3C" w:rsidR="00F00C80" w:rsidRDefault="00F00C80" w:rsidP="007E2FC8">
      <w:pPr>
        <w:rPr>
          <w:szCs w:val="22"/>
        </w:rPr>
      </w:pPr>
      <w:r>
        <w:rPr>
          <w:rFonts w:hint="eastAsia"/>
          <w:szCs w:val="22"/>
        </w:rPr>
        <w:t>T</w:t>
      </w:r>
      <w:r>
        <w:rPr>
          <w:szCs w:val="22"/>
        </w:rPr>
        <w:t xml:space="preserve">his contribution is to provide our </w:t>
      </w:r>
      <w:r w:rsidR="003C18B8">
        <w:rPr>
          <w:szCs w:val="22"/>
        </w:rPr>
        <w:t>understanding</w:t>
      </w:r>
      <w:r>
        <w:rPr>
          <w:szCs w:val="22"/>
        </w:rPr>
        <w:t xml:space="preserve"> on </w:t>
      </w:r>
      <w:r w:rsidR="008C55C0">
        <w:rPr>
          <w:szCs w:val="22"/>
        </w:rPr>
        <w:t>why we did not agree the UE capability</w:t>
      </w:r>
      <w:r w:rsidR="008C55C0" w:rsidRPr="008C55C0">
        <w:t xml:space="preserve"> </w:t>
      </w:r>
      <w:r w:rsidR="008C55C0" w:rsidRPr="008C55C0">
        <w:rPr>
          <w:szCs w:val="22"/>
        </w:rPr>
        <w:t>to report preferred switching pattern</w:t>
      </w:r>
      <w:r>
        <w:rPr>
          <w:szCs w:val="22"/>
        </w:rPr>
        <w:t>.</w:t>
      </w:r>
    </w:p>
    <w:p w14:paraId="2A5A95E1" w14:textId="21C1D3EB" w:rsidR="00800987" w:rsidRPr="00262F8E" w:rsidRDefault="00800987" w:rsidP="007E2FC8">
      <w:pPr>
        <w:rPr>
          <w:szCs w:val="22"/>
        </w:rPr>
      </w:pPr>
    </w:p>
    <w:p w14:paraId="375CDE38" w14:textId="77777777" w:rsidR="007E2FC8" w:rsidRDefault="007E2FC8" w:rsidP="007E2FC8">
      <w:pPr>
        <w:pStyle w:val="2"/>
        <w:numPr>
          <w:ilvl w:val="0"/>
          <w:numId w:val="2"/>
        </w:numPr>
      </w:pPr>
      <w:r>
        <w:rPr>
          <w:rFonts w:hint="eastAsia"/>
        </w:rPr>
        <w:t>Discussion</w:t>
      </w:r>
    </w:p>
    <w:p w14:paraId="395E74FD" w14:textId="187F94BF" w:rsidR="00F00C80" w:rsidRDefault="00F00C80" w:rsidP="00F00C80">
      <w:r>
        <w:rPr>
          <w:rFonts w:hint="eastAsia"/>
        </w:rPr>
        <w:t>O</w:t>
      </w:r>
      <w:r>
        <w:t>riginally</w:t>
      </w:r>
      <w:r w:rsidR="003C18B8">
        <w:t>,</w:t>
      </w:r>
      <w:r>
        <w:t xml:space="preserve"> RAN4 discussed necessity of optional capability to allow adoption of a shorter switching period for switching from uplink transmission on band A and band B to on band C and band D. </w:t>
      </w:r>
    </w:p>
    <w:p w14:paraId="77BAF2FC" w14:textId="77777777" w:rsidR="00F00C80" w:rsidRDefault="00F00C80" w:rsidP="00F00C80">
      <w:r>
        <w:t>To be more specific, if Tx chains are switched from A+B to C+D, the network cannot know which switching case is adopted, (case-1) Tx chain on band A switches to band C and band B to band D, or (case-2) band A to band D and band B to band C as depicted in Figure 1.</w:t>
      </w:r>
    </w:p>
    <w:p w14:paraId="5A08AF06" w14:textId="77777777" w:rsidR="00F00C80" w:rsidRDefault="00F00C80" w:rsidP="00F00C80">
      <w:pPr>
        <w:jc w:val="center"/>
      </w:pPr>
      <w:r>
        <w:rPr>
          <w:noProof/>
        </w:rPr>
        <w:lastRenderedPageBreak/>
        <w:drawing>
          <wp:inline distT="0" distB="0" distL="0" distR="0" wp14:anchorId="19978D92" wp14:editId="661ECAAA">
            <wp:extent cx="5993130" cy="5767070"/>
            <wp:effectExtent l="0" t="0" r="762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3130" cy="5767070"/>
                    </a:xfrm>
                    <a:prstGeom prst="rect">
                      <a:avLst/>
                    </a:prstGeom>
                    <a:noFill/>
                    <a:ln>
                      <a:noFill/>
                    </a:ln>
                  </pic:spPr>
                </pic:pic>
              </a:graphicData>
            </a:graphic>
          </wp:inline>
        </w:drawing>
      </w:r>
    </w:p>
    <w:p w14:paraId="1A2F4E3A" w14:textId="77777777" w:rsidR="00F00C80" w:rsidRPr="008123DC" w:rsidRDefault="00F00C80" w:rsidP="00F00C80">
      <w:pPr>
        <w:jc w:val="center"/>
        <w:rPr>
          <w:b/>
          <w:bCs/>
          <w:iCs/>
        </w:rPr>
      </w:pPr>
      <w:r w:rsidRPr="008123DC">
        <w:rPr>
          <w:rFonts w:hint="eastAsia"/>
          <w:b/>
          <w:bCs/>
          <w:iCs/>
        </w:rPr>
        <w:t>F</w:t>
      </w:r>
      <w:r w:rsidRPr="008123DC">
        <w:rPr>
          <w:b/>
          <w:bCs/>
          <w:iCs/>
        </w:rPr>
        <w:t xml:space="preserve">igure 1. Possible switching </w:t>
      </w:r>
      <w:r>
        <w:rPr>
          <w:b/>
          <w:bCs/>
          <w:iCs/>
        </w:rPr>
        <w:t>case</w:t>
      </w:r>
      <w:r w:rsidRPr="008123DC">
        <w:rPr>
          <w:b/>
          <w:bCs/>
          <w:iCs/>
        </w:rPr>
        <w:t>s and consequent switching period lengths for switching from A+B to C+D</w:t>
      </w:r>
      <w:r>
        <w:rPr>
          <w:b/>
          <w:bCs/>
          <w:iCs/>
        </w:rPr>
        <w:t>.</w:t>
      </w:r>
    </w:p>
    <w:p w14:paraId="23D8C0C4" w14:textId="2064D2E8" w:rsidR="00F00C80" w:rsidRDefault="00F00C80" w:rsidP="00F00C80">
      <w:pPr>
        <w:rPr>
          <w:iCs/>
        </w:rPr>
      </w:pPr>
      <w:r>
        <w:t xml:space="preserve">In this case, as a baseline function, the network assumes the worst switching case, i.e., adopts the longer switching period among the two switching cases. In short, the switching period shall be </w:t>
      </w:r>
      <m:oMath>
        <m:func>
          <m:funcPr>
            <m:ctrlPr>
              <w:rPr>
                <w:rFonts w:ascii="Cambria Math" w:hAnsi="Cambria Math"/>
                <w:i/>
                <w:iCs/>
              </w:rPr>
            </m:ctrlPr>
          </m:funcPr>
          <m:fName>
            <m:r>
              <m:rPr>
                <m:sty m:val="p"/>
              </m:rPr>
              <w:rPr>
                <w:rFonts w:ascii="Cambria Math" w:hAnsi="Cambria Math"/>
              </w:rPr>
              <m:t>max</m:t>
            </m:r>
          </m:fName>
          <m:e>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Pr>
          <w:rFonts w:hint="eastAsia"/>
          <w:iCs/>
        </w:rPr>
        <w:t xml:space="preserve"> </w:t>
      </w:r>
      <w:r>
        <w:rPr>
          <w:iCs/>
        </w:rPr>
        <w:t xml:space="preserve">where </w:t>
      </w:r>
      <m:oMath>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X-Y</m:t>
            </m:r>
          </m:sub>
        </m:sSub>
      </m:oMath>
      <w:r>
        <w:rPr>
          <w:rFonts w:hint="eastAsia"/>
        </w:rPr>
        <w:t xml:space="preserve"> </w:t>
      </w:r>
      <w:r>
        <w:t>represents the switching period between band X and band Y.</w:t>
      </w:r>
    </w:p>
    <w:p w14:paraId="4D67F3CC" w14:textId="193EEB58" w:rsidR="00F00C80" w:rsidRDefault="00F00C80" w:rsidP="00F00C80">
      <w:pPr>
        <w:rPr>
          <w:iCs/>
        </w:rPr>
      </w:pPr>
      <w:r>
        <w:rPr>
          <w:iCs/>
        </w:rPr>
        <w:t xml:space="preserve">In order to relax the switching period length, according to proponent in RAN4 </w:t>
      </w:r>
      <w:r w:rsidR="00E7403E">
        <w:rPr>
          <w:iCs/>
        </w:rPr>
        <w:t>[3]</w:t>
      </w:r>
      <w:r>
        <w:rPr>
          <w:iCs/>
        </w:rPr>
        <w:t xml:space="preserve">, it </w:t>
      </w:r>
      <w:r w:rsidR="00BF34E1">
        <w:rPr>
          <w:iCs/>
        </w:rPr>
        <w:t>wa</w:t>
      </w:r>
      <w:r>
        <w:rPr>
          <w:iCs/>
        </w:rPr>
        <w:t>s proposed to introduce following functionalities.</w:t>
      </w:r>
    </w:p>
    <w:p w14:paraId="2800B5B9" w14:textId="77777777" w:rsidR="00F00C80" w:rsidRDefault="00F00C80" w:rsidP="00F00C80">
      <w:pPr>
        <w:rPr>
          <w:iCs/>
        </w:rPr>
      </w:pPr>
      <w:r>
        <w:rPr>
          <w:iCs/>
        </w:rPr>
        <w:t>(</w:t>
      </w:r>
      <w:r>
        <w:rPr>
          <w:rFonts w:hint="eastAsia"/>
          <w:iCs/>
        </w:rPr>
        <w:t>1</w:t>
      </w:r>
      <w:r>
        <w:rPr>
          <w:iCs/>
        </w:rPr>
        <w:t>) Optional per-BC UE capability to distinguish switching case-1 and case-2 and report its preference.</w:t>
      </w:r>
    </w:p>
    <w:p w14:paraId="3E48412A" w14:textId="77777777" w:rsidR="00F00C80" w:rsidRDefault="00F00C80" w:rsidP="00F00C80">
      <w:pPr>
        <w:rPr>
          <w:iCs/>
        </w:rPr>
      </w:pPr>
      <w:r>
        <w:rPr>
          <w:iCs/>
        </w:rPr>
        <w:t>(</w:t>
      </w:r>
      <w:r>
        <w:rPr>
          <w:rFonts w:hint="eastAsia"/>
          <w:iCs/>
        </w:rPr>
        <w:t>2</w:t>
      </w:r>
      <w:r>
        <w:rPr>
          <w:iCs/>
        </w:rPr>
        <w:t>) RRC configuration of switching case 1 or 2.</w:t>
      </w:r>
    </w:p>
    <w:p w14:paraId="74F8C29E" w14:textId="0F2157D9" w:rsidR="00F00C80" w:rsidRDefault="00F00C80" w:rsidP="00F00C80">
      <w:pPr>
        <w:rPr>
          <w:iCs/>
        </w:rPr>
      </w:pPr>
      <w:r>
        <w:rPr>
          <w:iCs/>
        </w:rPr>
        <w:t>(</w:t>
      </w:r>
      <w:r>
        <w:rPr>
          <w:rFonts w:hint="eastAsia"/>
          <w:iCs/>
        </w:rPr>
        <w:t>3</w:t>
      </w:r>
      <w:r>
        <w:rPr>
          <w:iCs/>
        </w:rPr>
        <w:t xml:space="preserve">) Advanced UE capability of the switching period improved to </w:t>
      </w:r>
      <m:oMath>
        <m:func>
          <m:funcPr>
            <m:ctrlPr>
              <w:rPr>
                <w:rFonts w:ascii="Cambria Math" w:hAnsi="Cambria Math"/>
                <w:i/>
                <w:iCs/>
              </w:rPr>
            </m:ctrlPr>
          </m:funcPr>
          <m:fName>
            <m:r>
              <m:rPr>
                <m:sty m:val="p"/>
              </m:rPr>
              <w:rPr>
                <w:rFonts w:ascii="Cambria Math" w:hAnsi="Cambria Math"/>
              </w:rPr>
              <m:t>min</m:t>
            </m:r>
          </m:fName>
          <m:e>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Pr>
          <w:rFonts w:hint="eastAsia"/>
          <w:iCs/>
        </w:rPr>
        <w:t>.</w:t>
      </w:r>
    </w:p>
    <w:p w14:paraId="064F29DA" w14:textId="77777777" w:rsidR="00F00C80" w:rsidRDefault="00F00C80" w:rsidP="00F00C80">
      <w:pPr>
        <w:rPr>
          <w:iCs/>
        </w:rPr>
      </w:pPr>
      <w:r>
        <w:rPr>
          <w:rFonts w:hint="eastAsia"/>
          <w:iCs/>
        </w:rPr>
        <w:t>I</w:t>
      </w:r>
      <w:r>
        <w:rPr>
          <w:iCs/>
        </w:rPr>
        <w:t xml:space="preserve">n our understanding, these can be separated to (1)(2) and (3). In other words, introduction of UE capability (1) and RRC configuration (2) for switching case are considered as two aspects of one </w:t>
      </w:r>
      <w:r>
        <w:rPr>
          <w:iCs/>
        </w:rPr>
        <w:lastRenderedPageBreak/>
        <w:t>solution to clarify switching case. (The UE reports which case is preferred (1) and the NW configures whether preferred case is granted (2).)</w:t>
      </w:r>
    </w:p>
    <w:p w14:paraId="26054CD0" w14:textId="4B973910" w:rsidR="00F00C80" w:rsidRDefault="00F00C80" w:rsidP="00F00C80">
      <w:pPr>
        <w:rPr>
          <w:iCs/>
        </w:rPr>
      </w:pPr>
      <w:r>
        <w:rPr>
          <w:rFonts w:hint="eastAsia"/>
          <w:iCs/>
        </w:rPr>
        <w:t>H</w:t>
      </w:r>
      <w:r>
        <w:rPr>
          <w:iCs/>
        </w:rPr>
        <w:t>owever, after compromise in RAN4 discussion</w:t>
      </w:r>
      <w:r w:rsidR="00B7348B">
        <w:rPr>
          <w:iCs/>
        </w:rPr>
        <w:t>,</w:t>
      </w:r>
      <w:r>
        <w:rPr>
          <w:iCs/>
        </w:rPr>
        <w:t xml:space="preserve"> the RRC configuration (2) was removed from the approved LS </w:t>
      </w:r>
      <w:r w:rsidR="00E7403E">
        <w:rPr>
          <w:iCs/>
        </w:rPr>
        <w:t>[4]</w:t>
      </w:r>
      <w:r w:rsidR="003C18B8">
        <w:rPr>
          <w:iCs/>
        </w:rPr>
        <w:t xml:space="preserve"> at that time</w:t>
      </w:r>
      <w:r>
        <w:rPr>
          <w:iCs/>
        </w:rPr>
        <w:t>. In short, RAN2</w:t>
      </w:r>
      <w:r w:rsidR="003C18B8">
        <w:rPr>
          <w:iCs/>
        </w:rPr>
        <w:t xml:space="preserve"> in RAN2#125</w:t>
      </w:r>
      <w:r>
        <w:rPr>
          <w:iCs/>
        </w:rPr>
        <w:t xml:space="preserve"> </w:t>
      </w:r>
      <w:r w:rsidR="003C18B8">
        <w:rPr>
          <w:iCs/>
        </w:rPr>
        <w:t>wa</w:t>
      </w:r>
      <w:r>
        <w:rPr>
          <w:iCs/>
        </w:rPr>
        <w:t xml:space="preserve">s requested to introduce only (1) and (3). </w:t>
      </w:r>
      <w:r w:rsidR="005B0882">
        <w:rPr>
          <w:iCs/>
        </w:rPr>
        <w:t>H</w:t>
      </w:r>
      <w:r>
        <w:rPr>
          <w:iCs/>
        </w:rPr>
        <w:t>owever, the network has nothing to do with the reported UE capability (1) if we do not have the RRC configuration (2).</w:t>
      </w:r>
    </w:p>
    <w:p w14:paraId="34609F61" w14:textId="77777777" w:rsidR="00F00C80" w:rsidRDefault="00F00C80" w:rsidP="00F00C80">
      <w:pPr>
        <w:rPr>
          <w:iCs/>
        </w:rPr>
      </w:pPr>
      <w:r>
        <w:rPr>
          <w:iCs/>
        </w:rPr>
        <w:t>Furthermore, changing the perspective, the UE capability for preferred switching case (1) is technically not needed if the UE reports whether to reduce switching period length via an advanced UE capability (3), because it does not matter which switching case takes less period if the period is derived from minimum of periods for both switching cases.</w:t>
      </w:r>
    </w:p>
    <w:p w14:paraId="79CF2194" w14:textId="72F23D8E" w:rsidR="00F00C80" w:rsidRPr="00ED52BF" w:rsidRDefault="00F00C80" w:rsidP="00F00C80">
      <w:pPr>
        <w:rPr>
          <w:lang w:eastAsia="zh-CN"/>
        </w:rPr>
      </w:pPr>
      <w:r>
        <w:rPr>
          <w:iCs/>
        </w:rPr>
        <w:t>Th</w:t>
      </w:r>
      <w:r w:rsidR="003C18B8">
        <w:rPr>
          <w:iCs/>
        </w:rPr>
        <w:t xml:space="preserve">at was why RAN2 agreed to introduce </w:t>
      </w:r>
      <w:r>
        <w:rPr>
          <w:iCs/>
        </w:rPr>
        <w:t xml:space="preserve">only UE capability of the switching period improved to </w:t>
      </w:r>
      <m:oMath>
        <m:func>
          <m:funcPr>
            <m:ctrlPr>
              <w:rPr>
                <w:rFonts w:ascii="Cambria Math" w:hAnsi="Cambria Math"/>
                <w:i/>
                <w:iCs/>
              </w:rPr>
            </m:ctrlPr>
          </m:funcPr>
          <m:fName>
            <m:r>
              <m:rPr>
                <m:sty m:val="p"/>
              </m:rPr>
              <w:rPr>
                <w:rFonts w:ascii="Cambria Math" w:hAnsi="Cambria Math"/>
              </w:rPr>
              <m:t>min</m:t>
            </m:r>
          </m:fName>
          <m:e>
            <m:d>
              <m:dPr>
                <m:begChr m:val="{"/>
                <m:endChr m:val="}"/>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A-C</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B-D</m:t>
                            </m:r>
                          </m:sub>
                        </m:sSub>
                        <m:ctrlPr>
                          <w:rPr>
                            <w:rFonts w:ascii="Cambria Math" w:hAnsi="Cambria Math"/>
                            <w:i/>
                          </w:rPr>
                        </m:ctrlPr>
                      </m:e>
                    </m:d>
                  </m:e>
                </m:func>
                <m:r>
                  <w:rPr>
                    <w:rFonts w:ascii="Cambria Math" w:hAnsi="Cambria Math"/>
                  </w:rPr>
                  <m:t xml:space="preserve">, </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A-D</m:t>
                            </m:r>
                          </m:sub>
                        </m:sSub>
                        <m:r>
                          <w:rPr>
                            <w:rFonts w:ascii="Cambria Math" w:hAnsi="Cambria Math"/>
                          </w:rPr>
                          <m:t xml:space="preserve">, </m:t>
                        </m:r>
                        <m:sSub>
                          <m:sSubPr>
                            <m:ctrlPr>
                              <w:rPr>
                                <w:rFonts w:ascii="Cambria Math" w:hAnsi="Cambria Math"/>
                                <w:i/>
                              </w:rPr>
                            </m:ctrlPr>
                          </m:sSubPr>
                          <m:e>
                            <m:r>
                              <w:rPr>
                                <w:rFonts w:ascii="Cambria Math" w:hAnsi="Cambria Math"/>
                              </w:rPr>
                              <m:t>T</m:t>
                            </m:r>
                            <m:ctrlPr>
                              <w:rPr>
                                <w:rFonts w:ascii="Cambria Math" w:hAnsi="Cambria Math"/>
                                <w:i/>
                                <w:iCs/>
                              </w:rPr>
                            </m:ctrlPr>
                          </m:e>
                          <m:sub>
                            <m:r>
                              <m:rPr>
                                <m:sty m:val="p"/>
                              </m:rPr>
                              <w:rPr>
                                <w:rFonts w:ascii="Cambria Math" w:hAnsi="Cambria Math"/>
                              </w:rPr>
                              <m:t>switch</m:t>
                            </m:r>
                            <m:r>
                              <m:rPr>
                                <m:lit/>
                                <m:sty m:val="p"/>
                              </m:rPr>
                              <w:rPr>
                                <w:rFonts w:ascii="Cambria Math" w:hAnsi="Cambria Math"/>
                              </w:rPr>
                              <m:t>_</m:t>
                            </m:r>
                            <m:r>
                              <m:rPr>
                                <m:sty m:val="p"/>
                              </m:rPr>
                              <w:rPr>
                                <w:rFonts w:ascii="Cambria Math" w:hAnsi="Cambria Math"/>
                              </w:rPr>
                              <m:t>B-C</m:t>
                            </m:r>
                          </m:sub>
                        </m:sSub>
                        <m:ctrlPr>
                          <w:rPr>
                            <w:rFonts w:ascii="Cambria Math" w:hAnsi="Cambria Math"/>
                            <w:i/>
                          </w:rPr>
                        </m:ctrlPr>
                      </m:e>
                    </m:d>
                  </m:e>
                </m:func>
              </m:e>
            </m:d>
          </m:e>
        </m:func>
      </m:oMath>
      <w:r w:rsidR="003C18B8">
        <w:rPr>
          <w:iCs/>
        </w:rPr>
        <w:t xml:space="preserve"> but did not introduce UE capability for preferred switching pattern</w:t>
      </w:r>
      <w:r>
        <w:rPr>
          <w:rFonts w:hint="eastAsia"/>
          <w:iCs/>
        </w:rPr>
        <w:t>.</w:t>
      </w:r>
    </w:p>
    <w:p w14:paraId="5D016549" w14:textId="566043D7" w:rsidR="00F00C80" w:rsidRPr="00995BFA" w:rsidRDefault="003C18B8" w:rsidP="00F00C80">
      <w:pPr>
        <w:pStyle w:val="ObservationandProposal"/>
      </w:pPr>
      <w:r>
        <w:t>Observation</w:t>
      </w:r>
      <w:r w:rsidR="00F00C80" w:rsidRPr="00995BFA">
        <w:t xml:space="preserve"> 1.</w:t>
      </w:r>
      <w:r w:rsidR="00F00C80" w:rsidRPr="00995BFA">
        <w:tab/>
      </w:r>
      <w:r w:rsidR="008C55C0">
        <w:t xml:space="preserve">gNB has nothing to do with </w:t>
      </w:r>
      <w:r>
        <w:t>UE</w:t>
      </w:r>
      <w:r w:rsidR="00F00C80" w:rsidRPr="00995BFA">
        <w:t xml:space="preserve"> capability</w:t>
      </w:r>
      <w:r>
        <w:t xml:space="preserve"> to report preferred switching pattern</w:t>
      </w:r>
      <w:r w:rsidR="00F00C80" w:rsidRPr="00995BFA">
        <w:t xml:space="preserve"> because it does not affect length of switching period which</w:t>
      </w:r>
      <w:r>
        <w:t>ever</w:t>
      </w:r>
      <w:r w:rsidR="00F00C80" w:rsidRPr="00995BFA">
        <w:t xml:space="preserve"> case is preferred.</w:t>
      </w:r>
    </w:p>
    <w:p w14:paraId="44E8F144" w14:textId="77777777" w:rsidR="0083168F" w:rsidRDefault="0083168F" w:rsidP="007E2FC8">
      <w:pPr>
        <w:rPr>
          <w:szCs w:val="22"/>
        </w:rPr>
      </w:pPr>
    </w:p>
    <w:p w14:paraId="07114271" w14:textId="2386E406" w:rsidR="003C18B8" w:rsidRDefault="003C18B8" w:rsidP="007E2FC8">
      <w:pPr>
        <w:rPr>
          <w:szCs w:val="22"/>
        </w:rPr>
      </w:pPr>
      <w:r>
        <w:rPr>
          <w:rFonts w:hint="eastAsia"/>
          <w:szCs w:val="22"/>
        </w:rPr>
        <w:t>F</w:t>
      </w:r>
      <w:r>
        <w:rPr>
          <w:szCs w:val="22"/>
        </w:rPr>
        <w:t xml:space="preserve">rom above perspective, we should confirm </w:t>
      </w:r>
      <w:r w:rsidR="008C55C0">
        <w:rPr>
          <w:szCs w:val="22"/>
        </w:rPr>
        <w:t xml:space="preserve">not to introduce </w:t>
      </w:r>
      <w:r w:rsidR="00BF34E1">
        <w:rPr>
          <w:szCs w:val="22"/>
        </w:rPr>
        <w:t>UE capability</w:t>
      </w:r>
      <w:r w:rsidR="00BF34E1" w:rsidRPr="008C55C0">
        <w:t xml:space="preserve"> </w:t>
      </w:r>
      <w:r w:rsidR="00BF34E1" w:rsidRPr="008C55C0">
        <w:rPr>
          <w:szCs w:val="22"/>
        </w:rPr>
        <w:t>to report preferred switching pattern</w:t>
      </w:r>
      <w:r w:rsidR="00774945">
        <w:rPr>
          <w:szCs w:val="22"/>
        </w:rPr>
        <w:t xml:space="preserve"> to help RAN4 discussion</w:t>
      </w:r>
      <w:r w:rsidR="00BF34E1">
        <w:rPr>
          <w:szCs w:val="22"/>
        </w:rPr>
        <w:t>.</w:t>
      </w:r>
    </w:p>
    <w:p w14:paraId="530FBFAD" w14:textId="77777777" w:rsidR="00BF34E1" w:rsidRPr="00262F8E" w:rsidRDefault="00BF34E1" w:rsidP="00BF34E1">
      <w:pPr>
        <w:pStyle w:val="ObservationandProposal"/>
      </w:pPr>
      <w:r>
        <w:rPr>
          <w:rFonts w:hint="eastAsia"/>
        </w:rPr>
        <w:t>P</w:t>
      </w:r>
      <w:r>
        <w:t>roposal 1.</w:t>
      </w:r>
      <w:r>
        <w:tab/>
        <w:t>Confirm that RAN2 do not introduce UE capability</w:t>
      </w:r>
      <w:r w:rsidRPr="008C55C0">
        <w:t xml:space="preserve"> to report preferred switching pattern</w:t>
      </w:r>
      <w:r>
        <w:t>.</w:t>
      </w:r>
    </w:p>
    <w:p w14:paraId="61CD8902" w14:textId="77777777" w:rsidR="003C18B8" w:rsidRPr="00262F8E" w:rsidRDefault="003C18B8" w:rsidP="007E2FC8">
      <w:pPr>
        <w:rPr>
          <w:szCs w:val="22"/>
        </w:rPr>
      </w:pPr>
    </w:p>
    <w:p w14:paraId="602976D9" w14:textId="0A554B40" w:rsidR="00BF34E1" w:rsidRDefault="007E2FC8" w:rsidP="00E84A10">
      <w:pPr>
        <w:pStyle w:val="2"/>
        <w:numPr>
          <w:ilvl w:val="0"/>
          <w:numId w:val="2"/>
        </w:numPr>
      </w:pPr>
      <w:r>
        <w:rPr>
          <w:rFonts w:hint="eastAsia"/>
        </w:rPr>
        <w:t>Summary and proposal</w:t>
      </w:r>
    </w:p>
    <w:p w14:paraId="60A85CF8" w14:textId="3F70B866" w:rsidR="00BF34E1" w:rsidRPr="00BF34E1" w:rsidRDefault="00BF34E1" w:rsidP="00BF34E1">
      <w:pPr>
        <w:pStyle w:val="ObservationandProposal"/>
      </w:pPr>
      <w:r>
        <w:t>Observation</w:t>
      </w:r>
      <w:r w:rsidRPr="00995BFA">
        <w:t xml:space="preserve"> 1.</w:t>
      </w:r>
      <w:r w:rsidRPr="00995BFA">
        <w:tab/>
      </w:r>
      <w:r>
        <w:t>gNB has nothing to do with UE</w:t>
      </w:r>
      <w:r w:rsidRPr="00995BFA">
        <w:t xml:space="preserve"> capability</w:t>
      </w:r>
      <w:r>
        <w:t xml:space="preserve"> to report preferred switching pattern</w:t>
      </w:r>
      <w:r w:rsidRPr="00995BFA">
        <w:t xml:space="preserve"> because it does not affect length of switching period which</w:t>
      </w:r>
      <w:r>
        <w:t>ever</w:t>
      </w:r>
      <w:r w:rsidRPr="00995BFA">
        <w:t xml:space="preserve"> case is preferred.</w:t>
      </w:r>
    </w:p>
    <w:p w14:paraId="441C0605" w14:textId="6E567F2D" w:rsidR="007E2FC8" w:rsidRPr="00262F8E" w:rsidRDefault="00F61997" w:rsidP="00F61997">
      <w:pPr>
        <w:pStyle w:val="ObservationandProposal"/>
      </w:pPr>
      <w:r>
        <w:rPr>
          <w:rFonts w:hint="eastAsia"/>
        </w:rPr>
        <w:t>P</w:t>
      </w:r>
      <w:r>
        <w:t>roposal 1.</w:t>
      </w:r>
      <w:r>
        <w:tab/>
      </w:r>
      <w:r w:rsidR="008C55C0">
        <w:t>C</w:t>
      </w:r>
      <w:r>
        <w:t xml:space="preserve">onfirm </w:t>
      </w:r>
      <w:r w:rsidR="00BF34E1">
        <w:t>that RAN2 do not introduce UE capability</w:t>
      </w:r>
      <w:r w:rsidR="00BF34E1" w:rsidRPr="008C55C0">
        <w:t xml:space="preserve"> to report preferred switching pattern</w:t>
      </w:r>
      <w:r>
        <w:t>.</w:t>
      </w:r>
    </w:p>
    <w:p w14:paraId="59239AB7" w14:textId="77777777" w:rsidR="00F61997" w:rsidRPr="00262F8E" w:rsidRDefault="00F61997"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102380EF" w:rsidR="007E2FC8" w:rsidRDefault="00E7403E" w:rsidP="00452602">
      <w:pPr>
        <w:pStyle w:val="Reference"/>
        <w:rPr>
          <w:rFonts w:cs="Arial"/>
          <w:bCs/>
        </w:rPr>
      </w:pPr>
      <w:r>
        <w:rPr>
          <w:rFonts w:hint="eastAsia"/>
        </w:rPr>
        <w:t>[1]</w:t>
      </w:r>
      <w:r w:rsidR="00452602">
        <w:tab/>
      </w:r>
      <w:r w:rsidR="00800987">
        <w:t>R2-2401969, “</w:t>
      </w:r>
      <w:r w:rsidR="00800987">
        <w:rPr>
          <w:rFonts w:cs="Arial"/>
          <w:bCs/>
        </w:rPr>
        <w:t xml:space="preserve">Reply </w:t>
      </w:r>
      <w:r w:rsidR="00800987" w:rsidRPr="00BE0442">
        <w:rPr>
          <w:rFonts w:cs="Arial"/>
          <w:bCs/>
        </w:rPr>
        <w:t>LS on Rel-18 UL Tx switching for parallel switching on four bands</w:t>
      </w:r>
      <w:r w:rsidR="00800987">
        <w:rPr>
          <w:rFonts w:cs="Arial"/>
          <w:bCs/>
        </w:rPr>
        <w:t>,” RAN2#125.</w:t>
      </w:r>
    </w:p>
    <w:p w14:paraId="335A9F80" w14:textId="11E9218D" w:rsidR="00F00C80" w:rsidRDefault="00E7403E" w:rsidP="00452602">
      <w:pPr>
        <w:pStyle w:val="Reference"/>
        <w:rPr>
          <w:rFonts w:cs="Arial"/>
          <w:bCs/>
        </w:rPr>
      </w:pPr>
      <w:r>
        <w:rPr>
          <w:rFonts w:cs="Arial" w:hint="eastAsia"/>
          <w:bCs/>
        </w:rPr>
        <w:t>[2]</w:t>
      </w:r>
      <w:r w:rsidR="00F00C80">
        <w:rPr>
          <w:rFonts w:cs="Arial"/>
          <w:bCs/>
        </w:rPr>
        <w:tab/>
        <w:t>“Draft Meeting Report for TSG RAN WG4 meeting 110bis,” RAN4#110bis.</w:t>
      </w:r>
    </w:p>
    <w:p w14:paraId="7C7826EC" w14:textId="62C6F917" w:rsidR="003C18B8" w:rsidRDefault="00E7403E" w:rsidP="00452602">
      <w:pPr>
        <w:pStyle w:val="Reference"/>
      </w:pPr>
      <w:r>
        <w:rPr>
          <w:rFonts w:cs="Arial" w:hint="eastAsia"/>
          <w:bCs/>
        </w:rPr>
        <w:t>[3]</w:t>
      </w:r>
      <w:r w:rsidR="003C18B8">
        <w:rPr>
          <w:rFonts w:cs="Arial"/>
          <w:bCs/>
        </w:rPr>
        <w:tab/>
      </w:r>
      <w:r w:rsidR="003C18B8">
        <w:t>R4-2315548, “</w:t>
      </w:r>
      <w:r w:rsidR="003C18B8" w:rsidRPr="00444F33">
        <w:t>LS on Rel-18 UL Tx switching for parallel switching on four bands</w:t>
      </w:r>
      <w:r w:rsidR="003C18B8">
        <w:rPr>
          <w:rFonts w:hint="eastAsia"/>
        </w:rPr>
        <w:t>,</w:t>
      </w:r>
      <w:r w:rsidR="003C18B8">
        <w:t xml:space="preserve">” draftLS, </w:t>
      </w:r>
      <w:r w:rsidR="003C18B8" w:rsidRPr="00444F33">
        <w:t>MediaTek Inc</w:t>
      </w:r>
      <w:r w:rsidR="003C18B8">
        <w:t>., RAN4#108-bis.</w:t>
      </w:r>
    </w:p>
    <w:p w14:paraId="12F6C769" w14:textId="67113617" w:rsidR="003C18B8" w:rsidRPr="00262F8E" w:rsidRDefault="00E7403E" w:rsidP="00452602">
      <w:pPr>
        <w:pStyle w:val="Reference"/>
      </w:pPr>
      <w:r>
        <w:rPr>
          <w:rFonts w:hint="eastAsia"/>
        </w:rPr>
        <w:t>[4]</w:t>
      </w:r>
      <w:r w:rsidR="003C18B8">
        <w:tab/>
      </w:r>
      <w:r w:rsidR="004E6A0B">
        <w:t>R2-2311751, “</w:t>
      </w:r>
      <w:r w:rsidR="004E6A0B" w:rsidRPr="00444F33">
        <w:t>LS on Rel-18 UL Tx switching for parallel switching on four bands</w:t>
      </w:r>
      <w:r w:rsidR="004E6A0B">
        <w:t>,” RAN2#124.</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23F61" w14:textId="77777777" w:rsidR="00F31F1F" w:rsidRDefault="00F31F1F" w:rsidP="007E2FC8">
      <w:pPr>
        <w:spacing w:after="0"/>
      </w:pPr>
      <w:r>
        <w:separator/>
      </w:r>
    </w:p>
    <w:p w14:paraId="51465583" w14:textId="77777777" w:rsidR="00F31F1F" w:rsidRDefault="00F31F1F"/>
    <w:p w14:paraId="124B644D" w14:textId="77777777" w:rsidR="00F31F1F" w:rsidRDefault="00F31F1F" w:rsidP="00273403"/>
  </w:endnote>
  <w:endnote w:type="continuationSeparator" w:id="0">
    <w:p w14:paraId="2D30C3C3" w14:textId="77777777" w:rsidR="00F31F1F" w:rsidRDefault="00F31F1F" w:rsidP="007E2FC8">
      <w:pPr>
        <w:spacing w:after="0"/>
      </w:pPr>
      <w:r>
        <w:continuationSeparator/>
      </w:r>
    </w:p>
    <w:p w14:paraId="42D2DF30" w14:textId="77777777" w:rsidR="00F31F1F" w:rsidRDefault="00F31F1F"/>
    <w:p w14:paraId="2EC91BFD" w14:textId="77777777" w:rsidR="00F31F1F" w:rsidRDefault="00F31F1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0D619B"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0D619B" w:rsidRDefault="000D619B">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0D619B"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3267" w14:textId="77777777" w:rsidR="00F31F1F" w:rsidRDefault="00F31F1F" w:rsidP="007E2FC8">
      <w:pPr>
        <w:spacing w:after="0"/>
      </w:pPr>
      <w:r>
        <w:separator/>
      </w:r>
    </w:p>
    <w:p w14:paraId="7DA9561B" w14:textId="77777777" w:rsidR="00F31F1F" w:rsidRDefault="00F31F1F"/>
    <w:p w14:paraId="64594EF4" w14:textId="77777777" w:rsidR="00F31F1F" w:rsidRDefault="00F31F1F" w:rsidP="00273403"/>
  </w:footnote>
  <w:footnote w:type="continuationSeparator" w:id="0">
    <w:p w14:paraId="40FB0CE2" w14:textId="77777777" w:rsidR="00F31F1F" w:rsidRDefault="00F31F1F" w:rsidP="007E2FC8">
      <w:pPr>
        <w:spacing w:after="0"/>
      </w:pPr>
      <w:r>
        <w:continuationSeparator/>
      </w:r>
    </w:p>
    <w:p w14:paraId="7A2A1CEE" w14:textId="77777777" w:rsidR="00F31F1F" w:rsidRDefault="00F31F1F"/>
    <w:p w14:paraId="3CA4C6B4" w14:textId="77777777" w:rsidR="00F31F1F" w:rsidRDefault="00F31F1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1434714512">
    <w:abstractNumId w:val="0"/>
  </w:num>
  <w:num w:numId="5" w16cid:durableId="702554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0D619B"/>
    <w:rsid w:val="001376E5"/>
    <w:rsid w:val="00262F8E"/>
    <w:rsid w:val="00273403"/>
    <w:rsid w:val="002B674A"/>
    <w:rsid w:val="00385B37"/>
    <w:rsid w:val="003965B3"/>
    <w:rsid w:val="003C18B8"/>
    <w:rsid w:val="00452602"/>
    <w:rsid w:val="004A3CEE"/>
    <w:rsid w:val="004D1B48"/>
    <w:rsid w:val="004E6A0B"/>
    <w:rsid w:val="004E6B03"/>
    <w:rsid w:val="004F6390"/>
    <w:rsid w:val="00537958"/>
    <w:rsid w:val="005839E2"/>
    <w:rsid w:val="005857F6"/>
    <w:rsid w:val="005B0882"/>
    <w:rsid w:val="005F1EB4"/>
    <w:rsid w:val="005F73C8"/>
    <w:rsid w:val="006C7F12"/>
    <w:rsid w:val="00710F23"/>
    <w:rsid w:val="00774945"/>
    <w:rsid w:val="007E2FC8"/>
    <w:rsid w:val="00800987"/>
    <w:rsid w:val="0083168F"/>
    <w:rsid w:val="00896DC7"/>
    <w:rsid w:val="008C2D47"/>
    <w:rsid w:val="008C55C0"/>
    <w:rsid w:val="008E5A66"/>
    <w:rsid w:val="00903130"/>
    <w:rsid w:val="0092515C"/>
    <w:rsid w:val="009C786B"/>
    <w:rsid w:val="00A32033"/>
    <w:rsid w:val="00AB422A"/>
    <w:rsid w:val="00AF3CBB"/>
    <w:rsid w:val="00B329A1"/>
    <w:rsid w:val="00B7348B"/>
    <w:rsid w:val="00BF34E1"/>
    <w:rsid w:val="00C97CFC"/>
    <w:rsid w:val="00D40190"/>
    <w:rsid w:val="00D8679B"/>
    <w:rsid w:val="00D94041"/>
    <w:rsid w:val="00DB76B3"/>
    <w:rsid w:val="00E2631E"/>
    <w:rsid w:val="00E7403E"/>
    <w:rsid w:val="00EB1AD1"/>
    <w:rsid w:val="00F00C80"/>
    <w:rsid w:val="00F31F1F"/>
    <w:rsid w:val="00F5397B"/>
    <w:rsid w:val="00F560E5"/>
    <w:rsid w:val="00F61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F00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R4_bullets (文字),- Bullets (文字),?? ?? (文字),????? (文字),???? (文字),Lista1 (文字),列出段落1 (文字),中等深浅网格 1 - 着色 21 (文字),列表段落1 (文字),—ño’i—Ž (文字),¥¡¡¡¡ì¬º¥¹¥È¶ÎÂä (文字),ÁÐ³ö¶ÎÂä (文字),¥ê¥¹¥È¶ÎÂä (文字),1st level - Bullet List Paragraph (文字),목록 단락 (文字),列 (文字)"/>
    <w:link w:val="ac"/>
    <w:uiPriority w:val="34"/>
    <w:qFormat/>
    <w:locked/>
    <w:rsid w:val="00F00C80"/>
    <w:rPr>
      <w:rFonts w:ascii="Times New Roman" w:hAnsi="Times New Roman" w:cs="Times New Roman"/>
      <w:szCs w:val="24"/>
      <w:lang w:eastAsia="zh-CN"/>
    </w:rPr>
  </w:style>
  <w:style w:type="paragraph" w:styleId="ac">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목록,목록단"/>
    <w:basedOn w:val="a"/>
    <w:link w:val="ab"/>
    <w:uiPriority w:val="34"/>
    <w:qFormat/>
    <w:rsid w:val="00F00C80"/>
    <w:pPr>
      <w:spacing w:after="120"/>
    </w:pPr>
    <w:rPr>
      <w:rFonts w:ascii="Times New Roman" w:hAnsi="Times New Roman" w:cs="Times New Roman"/>
      <w:szCs w:val="24"/>
      <w:lang w:eastAsia="zh-CN"/>
    </w:rPr>
  </w:style>
  <w:style w:type="paragraph" w:customStyle="1" w:styleId="Doc-text2">
    <w:name w:val="Doc-text2"/>
    <w:basedOn w:val="a"/>
    <w:link w:val="Doc-text2Char"/>
    <w:qFormat/>
    <w:rsid w:val="003C18B8"/>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3C18B8"/>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21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778</Words>
  <Characters>4438</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29</cp:revision>
  <dcterms:created xsi:type="dcterms:W3CDTF">2021-10-20T07:13:00Z</dcterms:created>
  <dcterms:modified xsi:type="dcterms:W3CDTF">2024-05-10T06:23:00Z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